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895E" w14:textId="6BFD64B4" w:rsidR="00FF0EE2" w:rsidRDefault="00FF0EE2" w:rsidP="00FF0EE2">
      <w:pPr>
        <w:pStyle w:val="2ndparagraph"/>
        <w:jc w:val="center"/>
        <w:rPr>
          <w:b/>
          <w:sz w:val="22"/>
          <w:u w:val="single"/>
        </w:rPr>
      </w:pPr>
      <w:r w:rsidRPr="00FF0EE2">
        <w:rPr>
          <w:b/>
          <w:sz w:val="22"/>
          <w:u w:val="single"/>
        </w:rPr>
        <w:t>Student Editor Recruitment Task 2</w:t>
      </w:r>
      <w:r w:rsidR="00DD7C0D">
        <w:rPr>
          <w:b/>
          <w:sz w:val="22"/>
          <w:u w:val="single"/>
        </w:rPr>
        <w:t>022-3</w:t>
      </w:r>
    </w:p>
    <w:p w14:paraId="3E42A939" w14:textId="77777777" w:rsidR="00FF0EE2" w:rsidRPr="00FF0EE2" w:rsidRDefault="00FF0EE2" w:rsidP="00FF0EE2">
      <w:pPr>
        <w:pStyle w:val="2ndparagraph"/>
        <w:jc w:val="center"/>
        <w:rPr>
          <w:b/>
          <w:u w:val="single"/>
        </w:rPr>
      </w:pPr>
    </w:p>
    <w:p w14:paraId="1E62D3E3" w14:textId="77777777" w:rsidR="00FF0EE2" w:rsidRDefault="00FF0EE2" w:rsidP="00795733">
      <w:pPr>
        <w:autoSpaceDE w:val="0"/>
        <w:autoSpaceDN w:val="0"/>
        <w:adjustRightInd w:val="0"/>
        <w:spacing w:line="360" w:lineRule="auto"/>
        <w:ind w:left="0" w:firstLine="0"/>
        <w:jc w:val="both"/>
        <w:rPr>
          <w:rFonts w:ascii="Times New Roman" w:eastAsia="Calibri" w:hAnsi="Times New Roman" w:cs="Times New Roman"/>
          <w:szCs w:val="26"/>
        </w:rPr>
      </w:pPr>
      <w:r w:rsidRPr="00FF0EE2">
        <w:rPr>
          <w:rFonts w:ascii="Times New Roman" w:eastAsia="Calibri" w:hAnsi="Times New Roman" w:cs="Times New Roman"/>
          <w:szCs w:val="26"/>
        </w:rPr>
        <w:t xml:space="preserve">The following extract has been </w:t>
      </w:r>
      <w:r w:rsidRPr="00FF0EE2">
        <w:rPr>
          <w:rFonts w:ascii="Times New Roman" w:eastAsia="Calibri" w:hAnsi="Times New Roman" w:cs="Times New Roman"/>
          <w:b/>
          <w:szCs w:val="26"/>
        </w:rPr>
        <w:t>adapted</w:t>
      </w:r>
      <w:r w:rsidRPr="00FF0EE2">
        <w:rPr>
          <w:rFonts w:ascii="Times New Roman" w:eastAsia="Calibri" w:hAnsi="Times New Roman" w:cs="Times New Roman"/>
          <w:szCs w:val="26"/>
        </w:rPr>
        <w:t xml:space="preserve"> from an </w:t>
      </w:r>
      <w:r>
        <w:rPr>
          <w:rFonts w:ascii="Times New Roman" w:eastAsia="Calibri" w:hAnsi="Times New Roman" w:cs="Times New Roman"/>
          <w:szCs w:val="26"/>
        </w:rPr>
        <w:t xml:space="preserve">old </w:t>
      </w:r>
      <w:r w:rsidRPr="00FF0EE2">
        <w:rPr>
          <w:rFonts w:ascii="Times New Roman" w:eastAsia="Calibri" w:hAnsi="Times New Roman" w:cs="Times New Roman"/>
          <w:szCs w:val="26"/>
        </w:rPr>
        <w:t xml:space="preserve">article. Please amend the passage </w:t>
      </w:r>
      <w:r w:rsidRPr="00FF0EE2">
        <w:rPr>
          <w:rFonts w:ascii="Times New Roman" w:eastAsia="Calibri" w:hAnsi="Times New Roman" w:cs="Times New Roman"/>
          <w:szCs w:val="26"/>
          <w:u w:val="single"/>
        </w:rPr>
        <w:t>using Track Changes</w:t>
      </w:r>
      <w:r w:rsidRPr="00FF0EE2">
        <w:rPr>
          <w:rFonts w:ascii="Times New Roman" w:eastAsia="Calibri" w:hAnsi="Times New Roman" w:cs="Times New Roman"/>
          <w:szCs w:val="26"/>
        </w:rPr>
        <w:t xml:space="preserve">, in order to ensure correct spelling, punctuation, grammar and compliance with the </w:t>
      </w:r>
      <w:r w:rsidRPr="00FF0EE2">
        <w:rPr>
          <w:rFonts w:ascii="Times New Roman" w:eastAsia="Calibri" w:hAnsi="Times New Roman" w:cs="Times New Roman"/>
          <w:i/>
          <w:szCs w:val="26"/>
        </w:rPr>
        <w:t xml:space="preserve">Australian Guide to Legal Citation </w:t>
      </w:r>
      <w:r w:rsidRPr="00FF0EE2">
        <w:rPr>
          <w:rFonts w:ascii="Times New Roman" w:eastAsia="Calibri" w:hAnsi="Times New Roman" w:cs="Times New Roman"/>
          <w:szCs w:val="26"/>
        </w:rPr>
        <w:t>(AGLC). You will need locate the sources in order to ensure that all details have been reported correctly. There is no need to refer to the original article.</w:t>
      </w:r>
    </w:p>
    <w:p w14:paraId="50677FAF" w14:textId="77777777" w:rsidR="00FF0EE2" w:rsidRPr="00FA4889" w:rsidRDefault="00FF0EE2" w:rsidP="00FF0EE2">
      <w:pPr>
        <w:pStyle w:val="2ndparagraph"/>
        <w:spacing w:line="360" w:lineRule="auto"/>
        <w:ind w:firstLine="0"/>
        <w:rPr>
          <w:rFonts w:eastAsia="Calibri"/>
          <w:sz w:val="22"/>
          <w:szCs w:val="26"/>
        </w:rPr>
      </w:pPr>
    </w:p>
    <w:p w14:paraId="2D9A3CB5" w14:textId="77777777" w:rsidR="00FF0EE2" w:rsidRPr="00FA4889" w:rsidRDefault="00722719" w:rsidP="00693F22">
      <w:pPr>
        <w:pStyle w:val="2ndparagraph"/>
        <w:spacing w:line="360" w:lineRule="auto"/>
        <w:rPr>
          <w:sz w:val="22"/>
          <w:szCs w:val="22"/>
        </w:rPr>
      </w:pPr>
      <w:r>
        <w:rPr>
          <w:sz w:val="22"/>
          <w:szCs w:val="22"/>
        </w:rPr>
        <w:t xml:space="preserve">Brennan </w:t>
      </w:r>
      <w:r w:rsidR="002E2AE9" w:rsidRPr="00FA4889">
        <w:rPr>
          <w:sz w:val="22"/>
          <w:szCs w:val="22"/>
        </w:rPr>
        <w:t>de</w:t>
      </w:r>
      <w:r w:rsidR="00FF0EE2" w:rsidRPr="00FA4889">
        <w:rPr>
          <w:sz w:val="22"/>
          <w:szCs w:val="22"/>
        </w:rPr>
        <w:t>scribed international law as a</w:t>
      </w:r>
      <w:r w:rsidR="00A52CE4" w:rsidRPr="00FA4889">
        <w:rPr>
          <w:sz w:val="22"/>
          <w:szCs w:val="22"/>
        </w:rPr>
        <w:t>n</w:t>
      </w:r>
      <w:r w:rsidR="00FF0EE2" w:rsidRPr="00FA4889">
        <w:rPr>
          <w:sz w:val="22"/>
          <w:szCs w:val="22"/>
        </w:rPr>
        <w:t xml:space="preserve"> “</w:t>
      </w:r>
      <w:r w:rsidR="002E2AE9" w:rsidRPr="00FA4889">
        <w:rPr>
          <w:sz w:val="22"/>
          <w:szCs w:val="22"/>
        </w:rPr>
        <w:t>legitimate and important influence on the</w:t>
      </w:r>
      <w:r w:rsidR="00FF0EE2" w:rsidRPr="00FA4889">
        <w:rPr>
          <w:sz w:val="22"/>
          <w:szCs w:val="22"/>
        </w:rPr>
        <w:t xml:space="preserve"> continuous growth and development of the common law”</w:t>
      </w:r>
      <w:r w:rsidR="002E2AE9" w:rsidRPr="00FA4889">
        <w:rPr>
          <w:sz w:val="22"/>
          <w:szCs w:val="22"/>
        </w:rPr>
        <w:t xml:space="preserve"> and acknowledged that this is particularly t</w:t>
      </w:r>
      <w:r w:rsidR="00FF0EE2" w:rsidRPr="00FA4889">
        <w:rPr>
          <w:sz w:val="22"/>
          <w:szCs w:val="22"/>
        </w:rPr>
        <w:t>he case when international law “</w:t>
      </w:r>
      <w:r w:rsidR="002E2AE9" w:rsidRPr="00FA4889">
        <w:rPr>
          <w:sz w:val="22"/>
          <w:szCs w:val="22"/>
        </w:rPr>
        <w:t>declares the exis</w:t>
      </w:r>
      <w:r w:rsidR="00FF0EE2" w:rsidRPr="00FA4889">
        <w:rPr>
          <w:sz w:val="22"/>
          <w:szCs w:val="22"/>
        </w:rPr>
        <w:t>tence of universal human rights”</w:t>
      </w:r>
      <w:r w:rsidR="002E2AE9" w:rsidRPr="00FA4889">
        <w:rPr>
          <w:sz w:val="22"/>
          <w:szCs w:val="22"/>
        </w:rPr>
        <w:t>.</w:t>
      </w:r>
      <w:r w:rsidR="00AD2703">
        <w:rPr>
          <w:rStyle w:val="FootnoteReference"/>
          <w:szCs w:val="22"/>
        </w:rPr>
        <w:footnoteReference w:id="1"/>
      </w:r>
      <w:r w:rsidR="002E2AE9" w:rsidRPr="00FA4889">
        <w:rPr>
          <w:rStyle w:val="FootnoteReference"/>
          <w:sz w:val="22"/>
          <w:szCs w:val="22"/>
        </w:rPr>
        <w:t xml:space="preserve"> </w:t>
      </w:r>
      <w:r w:rsidR="002E2AE9" w:rsidRPr="00FA4889">
        <w:rPr>
          <w:sz w:val="22"/>
          <w:szCs w:val="22"/>
        </w:rPr>
        <w:t xml:space="preserve">Kirby, a long-time supporter of the role of international law in Australia, </w:t>
      </w:r>
      <w:r w:rsidR="00693F22" w:rsidRPr="00FA4889">
        <w:rPr>
          <w:sz w:val="22"/>
          <w:szCs w:val="22"/>
        </w:rPr>
        <w:t>has said that</w:t>
      </w:r>
      <w:r w:rsidR="002E2AE9" w:rsidRPr="00FA4889">
        <w:rPr>
          <w:sz w:val="22"/>
          <w:szCs w:val="22"/>
        </w:rPr>
        <w:t xml:space="preserve"> ‘</w:t>
      </w:r>
      <w:r w:rsidR="00735716" w:rsidRPr="00FA4889">
        <w:rPr>
          <w:sz w:val="22"/>
          <w:szCs w:val="22"/>
        </w:rPr>
        <w:t xml:space="preserve">to the full extent that its text permits, </w:t>
      </w:r>
      <w:r w:rsidR="002E2AE9" w:rsidRPr="00FA4889">
        <w:rPr>
          <w:sz w:val="22"/>
          <w:szCs w:val="22"/>
        </w:rPr>
        <w:t>Australia’s Constitution</w:t>
      </w:r>
      <w:r w:rsidR="002E2AE9" w:rsidRPr="00FA4889">
        <w:rPr>
          <w:sz w:val="22"/>
          <w:szCs w:val="22"/>
        </w:rPr>
        <w:fldChar w:fldCharType="begin"/>
      </w:r>
      <w:r w:rsidR="002E2AE9" w:rsidRPr="00FA4889">
        <w:rPr>
          <w:sz w:val="22"/>
          <w:szCs w:val="22"/>
        </w:rPr>
        <w:instrText xml:space="preserve"> XE "Australia: Constitution" </w:instrText>
      </w:r>
      <w:r w:rsidR="002E2AE9" w:rsidRPr="00FA4889">
        <w:rPr>
          <w:sz w:val="22"/>
          <w:szCs w:val="22"/>
        </w:rPr>
        <w:fldChar w:fldCharType="end"/>
      </w:r>
      <w:r w:rsidR="002E2AE9" w:rsidRPr="00FA4889">
        <w:rPr>
          <w:sz w:val="22"/>
          <w:szCs w:val="22"/>
        </w:rPr>
        <w:t>, as the fundamental law of government in this country, accommodates itself to international law, including in so far as that law expresses basic rights.</w:t>
      </w:r>
      <w:r w:rsidR="00693F22" w:rsidRPr="00FA4889">
        <w:rPr>
          <w:sz w:val="22"/>
          <w:szCs w:val="22"/>
        </w:rPr>
        <w:t xml:space="preserve"> The reason for this is that the Constitution not only speaks to the people of Australia who made it and accept it for their governance</w:t>
      </w:r>
      <w:r w:rsidR="002E2AE9" w:rsidRPr="00FA4889">
        <w:rPr>
          <w:sz w:val="22"/>
          <w:szCs w:val="22"/>
        </w:rPr>
        <w:t>’</w:t>
      </w:r>
      <w:r w:rsidR="00693F22" w:rsidRPr="00FA4889">
        <w:rPr>
          <w:sz w:val="22"/>
          <w:szCs w:val="22"/>
        </w:rPr>
        <w:t>.</w:t>
      </w:r>
      <w:r w:rsidR="00AD2703">
        <w:rPr>
          <w:rStyle w:val="FootnoteReference"/>
          <w:szCs w:val="22"/>
        </w:rPr>
        <w:footnoteReference w:id="2"/>
      </w:r>
    </w:p>
    <w:p w14:paraId="1117C752" w14:textId="77777777" w:rsidR="00FF0EE2" w:rsidRPr="00FA4889" w:rsidRDefault="002E2AE9" w:rsidP="00FF0EE2">
      <w:pPr>
        <w:pStyle w:val="2ndparagraph"/>
        <w:spacing w:line="360" w:lineRule="auto"/>
        <w:ind w:firstLine="0"/>
        <w:rPr>
          <w:sz w:val="22"/>
          <w:szCs w:val="22"/>
        </w:rPr>
      </w:pPr>
      <w:r w:rsidRPr="00FA4889">
        <w:rPr>
          <w:sz w:val="22"/>
          <w:szCs w:val="22"/>
        </w:rPr>
        <w:t>This approach has its political analogues. The Australian Democrats</w:t>
      </w:r>
      <w:r w:rsidRPr="00FA4889">
        <w:rPr>
          <w:sz w:val="22"/>
          <w:szCs w:val="22"/>
        </w:rPr>
        <w:fldChar w:fldCharType="begin"/>
      </w:r>
      <w:r w:rsidRPr="00FA4889">
        <w:rPr>
          <w:sz w:val="22"/>
          <w:szCs w:val="22"/>
        </w:rPr>
        <w:instrText xml:space="preserve"> XE "Australian Democrats" </w:instrText>
      </w:r>
      <w:r w:rsidRPr="00FA4889">
        <w:rPr>
          <w:sz w:val="22"/>
          <w:szCs w:val="22"/>
        </w:rPr>
        <w:fldChar w:fldCharType="end"/>
      </w:r>
      <w:r w:rsidR="00693F22" w:rsidRPr="00FA4889">
        <w:rPr>
          <w:sz w:val="22"/>
          <w:szCs w:val="22"/>
        </w:rPr>
        <w:t xml:space="preserve"> have opposed each of the anti–</w:t>
      </w:r>
      <w:r w:rsidRPr="00FA4889">
        <w:rPr>
          <w:i/>
          <w:sz w:val="22"/>
          <w:szCs w:val="22"/>
        </w:rPr>
        <w:t>Teoh</w:t>
      </w:r>
      <w:r w:rsidRPr="00FA4889">
        <w:rPr>
          <w:sz w:val="22"/>
          <w:szCs w:val="22"/>
        </w:rPr>
        <w:t xml:space="preserve"> Bills as underminin</w:t>
      </w:r>
      <w:r w:rsidR="00735716" w:rsidRPr="00FA4889">
        <w:rPr>
          <w:sz w:val="22"/>
          <w:szCs w:val="22"/>
        </w:rPr>
        <w:t>g respect for international law.</w:t>
      </w:r>
      <w:r w:rsidR="00AD2703">
        <w:rPr>
          <w:rStyle w:val="FootnoteReference"/>
          <w:szCs w:val="22"/>
        </w:rPr>
        <w:footnoteReference w:id="3"/>
      </w:r>
    </w:p>
    <w:p w14:paraId="584646EA" w14:textId="77777777" w:rsidR="002E2AE9" w:rsidRPr="00FA4889" w:rsidRDefault="002E2AE9" w:rsidP="00FF0EE2">
      <w:pPr>
        <w:pStyle w:val="2ndparagraph"/>
        <w:spacing w:line="360" w:lineRule="auto"/>
        <w:ind w:firstLine="0"/>
        <w:rPr>
          <w:sz w:val="22"/>
          <w:szCs w:val="22"/>
        </w:rPr>
      </w:pPr>
      <w:r w:rsidRPr="00FA4889">
        <w:rPr>
          <w:sz w:val="22"/>
          <w:szCs w:val="22"/>
        </w:rPr>
        <w:t>Two potential conflicts arise from the emphasis that is given to human rights law</w:t>
      </w:r>
      <w:r w:rsidRPr="00FA4889">
        <w:rPr>
          <w:sz w:val="22"/>
          <w:szCs w:val="22"/>
        </w:rPr>
        <w:fldChar w:fldCharType="begin"/>
      </w:r>
      <w:r w:rsidRPr="00FA4889">
        <w:rPr>
          <w:sz w:val="22"/>
          <w:szCs w:val="22"/>
        </w:rPr>
        <w:instrText xml:space="preserve"> XE "human rights" </w:instrText>
      </w:r>
      <w:r w:rsidRPr="00FA4889">
        <w:rPr>
          <w:sz w:val="22"/>
          <w:szCs w:val="22"/>
        </w:rPr>
        <w:fldChar w:fldCharType="end"/>
      </w:r>
      <w:r w:rsidRPr="00FA4889">
        <w:rPr>
          <w:sz w:val="22"/>
          <w:szCs w:val="22"/>
        </w:rPr>
        <w:t xml:space="preserve"> withi</w:t>
      </w:r>
      <w:r w:rsidR="00B90095">
        <w:rPr>
          <w:sz w:val="22"/>
          <w:szCs w:val="22"/>
        </w:rPr>
        <w:t>n this</w:t>
      </w:r>
      <w:r w:rsidR="00CC423A">
        <w:rPr>
          <w:sz w:val="22"/>
          <w:szCs w:val="22"/>
        </w:rPr>
        <w:t xml:space="preserve"> vision of inte</w:t>
      </w:r>
      <w:r w:rsidR="00CC423A" w:rsidRPr="00FA4889">
        <w:rPr>
          <w:sz w:val="22"/>
          <w:szCs w:val="22"/>
        </w:rPr>
        <w:t>ntional</w:t>
      </w:r>
      <w:r w:rsidRPr="00FA4889">
        <w:rPr>
          <w:sz w:val="22"/>
          <w:szCs w:val="22"/>
        </w:rPr>
        <w:t xml:space="preserve"> law. The first arises because international conventions deal with a wide range of issues other than human rights. Many of these conventions deal with facilitative and morally neutral matters that relate to issues such as the international regulation of air travel or the workings of the international postage system</w:t>
      </w:r>
      <w:r w:rsidR="00722719">
        <w:rPr>
          <w:rStyle w:val="FootnoteReference"/>
          <w:szCs w:val="22"/>
        </w:rPr>
        <w:footnoteReference w:id="4"/>
      </w:r>
      <w:r w:rsidRPr="00FA4889">
        <w:rPr>
          <w:sz w:val="22"/>
          <w:szCs w:val="22"/>
        </w:rPr>
        <w:t>.</w:t>
      </w:r>
      <w:r w:rsidRPr="00FA4889">
        <w:rPr>
          <w:rStyle w:val="FootnoteReference"/>
          <w:sz w:val="22"/>
          <w:szCs w:val="22"/>
          <w:vertAlign w:val="superscript"/>
        </w:rPr>
        <w:t xml:space="preserve"> </w:t>
      </w:r>
      <w:r w:rsidR="00596473" w:rsidRPr="00596473">
        <w:rPr>
          <w:sz w:val="22"/>
        </w:rPr>
        <w:t>These conventions have been interpreted and discussed in foreign domestic courts.</w:t>
      </w:r>
      <w:r w:rsidR="00AD2703">
        <w:rPr>
          <w:rStyle w:val="FootnoteReference"/>
        </w:rPr>
        <w:footnoteReference w:id="5"/>
      </w:r>
      <w:r w:rsidR="00596473">
        <w:rPr>
          <w:sz w:val="22"/>
        </w:rPr>
        <w:t xml:space="preserve"> </w:t>
      </w:r>
      <w:r w:rsidR="00693F22" w:rsidRPr="00FA4889">
        <w:rPr>
          <w:sz w:val="22"/>
          <w:szCs w:val="22"/>
        </w:rPr>
        <w:t>Other treaties may be based on values that believers in human rights often support, such as environmental protection</w:t>
      </w:r>
      <w:r w:rsidR="00FA4889" w:rsidRPr="00FA4889">
        <w:rPr>
          <w:sz w:val="22"/>
          <w:szCs w:val="22"/>
        </w:rPr>
        <w:t>.</w:t>
      </w:r>
      <w:r w:rsidR="00722719">
        <w:rPr>
          <w:rStyle w:val="FootnoteReference"/>
          <w:szCs w:val="22"/>
        </w:rPr>
        <w:footnoteReference w:id="6"/>
      </w:r>
      <w:r w:rsidR="00FA4889" w:rsidRPr="00FA4889">
        <w:rPr>
          <w:rStyle w:val="FootnoteReference"/>
          <w:sz w:val="22"/>
          <w:szCs w:val="22"/>
        </w:rPr>
        <w:t xml:space="preserve"> </w:t>
      </w:r>
      <w:r w:rsidRPr="00FA4889">
        <w:rPr>
          <w:sz w:val="22"/>
          <w:szCs w:val="22"/>
        </w:rPr>
        <w:t>There are also, however, a raft of conventions that cause unease among some proponents of human rights. International conventions and institutions that promote free-market economics (such as the International Monetary Fund</w:t>
      </w:r>
      <w:r w:rsidRPr="00FA4889">
        <w:rPr>
          <w:sz w:val="22"/>
          <w:szCs w:val="22"/>
        </w:rPr>
        <w:fldChar w:fldCharType="begin"/>
      </w:r>
      <w:r w:rsidRPr="00FA4889">
        <w:rPr>
          <w:sz w:val="22"/>
          <w:szCs w:val="22"/>
        </w:rPr>
        <w:instrText xml:space="preserve"> XE "International Monetary Fund (IMF)" </w:instrText>
      </w:r>
      <w:r w:rsidRPr="00FA4889">
        <w:rPr>
          <w:sz w:val="22"/>
          <w:szCs w:val="22"/>
        </w:rPr>
        <w:fldChar w:fldCharType="end"/>
      </w:r>
      <w:r w:rsidRPr="00FA4889">
        <w:rPr>
          <w:sz w:val="22"/>
          <w:szCs w:val="22"/>
        </w:rPr>
        <w:t xml:space="preserve"> (IMF) and the World Bank</w:t>
      </w:r>
      <w:r w:rsidRPr="00FA4889">
        <w:rPr>
          <w:sz w:val="22"/>
          <w:szCs w:val="22"/>
        </w:rPr>
        <w:fldChar w:fldCharType="begin"/>
      </w:r>
      <w:r w:rsidRPr="00FA4889">
        <w:rPr>
          <w:sz w:val="22"/>
          <w:szCs w:val="22"/>
        </w:rPr>
        <w:instrText xml:space="preserve"> XE "World Bank" </w:instrText>
      </w:r>
      <w:r w:rsidRPr="00FA4889">
        <w:rPr>
          <w:sz w:val="22"/>
          <w:szCs w:val="22"/>
        </w:rPr>
        <w:fldChar w:fldCharType="end"/>
      </w:r>
      <w:r w:rsidRPr="00FA4889">
        <w:rPr>
          <w:sz w:val="22"/>
          <w:szCs w:val="22"/>
        </w:rPr>
        <w:t>) have been the subject of criticism on human right</w:t>
      </w:r>
      <w:r w:rsidR="001D0A12">
        <w:rPr>
          <w:sz w:val="22"/>
          <w:szCs w:val="22"/>
        </w:rPr>
        <w:t>’</w:t>
      </w:r>
      <w:r w:rsidRPr="00FA4889">
        <w:rPr>
          <w:sz w:val="22"/>
          <w:szCs w:val="22"/>
        </w:rPr>
        <w:t>s grounds.</w:t>
      </w:r>
      <w:r w:rsidR="00AD2703">
        <w:rPr>
          <w:rStyle w:val="FootnoteReference"/>
          <w:szCs w:val="22"/>
        </w:rPr>
        <w:footnoteReference w:id="7"/>
      </w:r>
      <w:r w:rsidR="00A507C0">
        <w:rPr>
          <w:sz w:val="22"/>
          <w:szCs w:val="22"/>
        </w:rPr>
        <w:t xml:space="preserve"> </w:t>
      </w:r>
      <w:r w:rsidR="00866AB9" w:rsidRPr="00866AB9">
        <w:rPr>
          <w:sz w:val="22"/>
          <w:szCs w:val="22"/>
        </w:rPr>
        <w:t xml:space="preserve">The importance </w:t>
      </w:r>
      <w:r w:rsidR="00866AB9" w:rsidRPr="00866AB9">
        <w:rPr>
          <w:sz w:val="22"/>
          <w:szCs w:val="22"/>
        </w:rPr>
        <w:lastRenderedPageBreak/>
        <w:t>of institutions in the promotion and protection of human rights has been affirmed by the UN General Assembly.</w:t>
      </w:r>
      <w:r w:rsidR="00AD2703">
        <w:rPr>
          <w:rStyle w:val="FootnoteReference"/>
          <w:szCs w:val="22"/>
        </w:rPr>
        <w:footnoteReference w:id="8"/>
      </w:r>
    </w:p>
    <w:p w14:paraId="1B1B6CB5" w14:textId="77777777" w:rsidR="002E2AE9" w:rsidRDefault="002E2AE9" w:rsidP="002E2AE9">
      <w:pPr>
        <w:pStyle w:val="2ndparagraph"/>
      </w:pPr>
    </w:p>
    <w:p w14:paraId="06260C3D" w14:textId="77777777" w:rsidR="00014FA9" w:rsidRDefault="00A96E91"/>
    <w:sectPr w:rsidR="00014F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FF1C" w14:textId="77777777" w:rsidR="00A96E91" w:rsidRDefault="00A96E91" w:rsidP="002E2AE9">
      <w:r>
        <w:separator/>
      </w:r>
    </w:p>
  </w:endnote>
  <w:endnote w:type="continuationSeparator" w:id="0">
    <w:p w14:paraId="276B7EAD" w14:textId="77777777" w:rsidR="00A96E91" w:rsidRDefault="00A96E91" w:rsidP="002E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734D" w14:textId="77777777" w:rsidR="00A96E91" w:rsidRDefault="00A96E91" w:rsidP="002E2AE9">
      <w:r>
        <w:separator/>
      </w:r>
    </w:p>
  </w:footnote>
  <w:footnote w:type="continuationSeparator" w:id="0">
    <w:p w14:paraId="598D288C" w14:textId="77777777" w:rsidR="00A96E91" w:rsidRDefault="00A96E91" w:rsidP="002E2AE9">
      <w:r>
        <w:continuationSeparator/>
      </w:r>
    </w:p>
  </w:footnote>
  <w:footnote w:id="1">
    <w:p w14:paraId="6FB93706" w14:textId="77777777" w:rsidR="00AD2703" w:rsidRPr="00AD2703" w:rsidRDefault="00AD2703" w:rsidP="00AD2703">
      <w:pPr>
        <w:pStyle w:val="FootnoteText"/>
        <w:ind w:left="426" w:hanging="426"/>
        <w:rPr>
          <w:rFonts w:ascii="Times New Roman" w:hAnsi="Times New Roman" w:cs="Times New Roman"/>
        </w:rPr>
      </w:pPr>
      <w:r w:rsidRPr="00AD2703">
        <w:rPr>
          <w:rStyle w:val="FootnoteReference"/>
          <w:rFonts w:cs="Times New Roman"/>
        </w:rPr>
        <w:footnoteRef/>
      </w:r>
      <w:r w:rsidRPr="00AD2703">
        <w:rPr>
          <w:rFonts w:ascii="Times New Roman" w:hAnsi="Times New Roman" w:cs="Times New Roman"/>
        </w:rPr>
        <w:t xml:space="preserve"> </w:t>
      </w:r>
      <w:r w:rsidRPr="00AD2703">
        <w:rPr>
          <w:rFonts w:ascii="Times New Roman" w:hAnsi="Times New Roman" w:cs="Times New Roman"/>
        </w:rPr>
        <w:tab/>
      </w:r>
      <w:r w:rsidRPr="00AD2703">
        <w:rPr>
          <w:rFonts w:ascii="Times New Roman" w:hAnsi="Times New Roman" w:cs="Times New Roman"/>
          <w:i/>
        </w:rPr>
        <w:t>Mabo v Queensland</w:t>
      </w:r>
      <w:r w:rsidRPr="00AD2703">
        <w:rPr>
          <w:rFonts w:ascii="Times New Roman" w:hAnsi="Times New Roman" w:cs="Times New Roman"/>
          <w:i/>
        </w:rPr>
        <w:fldChar w:fldCharType="begin"/>
      </w:r>
      <w:r w:rsidRPr="00AD2703">
        <w:rPr>
          <w:rFonts w:ascii="Times New Roman" w:hAnsi="Times New Roman" w:cs="Times New Roman"/>
          <w:i/>
        </w:rPr>
        <w:instrText xml:space="preserve"> </w:instrText>
      </w:r>
      <w:r w:rsidRPr="00AD2703">
        <w:rPr>
          <w:rFonts w:ascii="Times New Roman" w:hAnsi="Times New Roman" w:cs="Times New Roman"/>
        </w:rPr>
        <w:instrText>TA \l</w:instrText>
      </w:r>
      <w:r w:rsidRPr="00AD2703">
        <w:rPr>
          <w:rFonts w:ascii="Times New Roman" w:hAnsi="Times New Roman" w:cs="Times New Roman"/>
          <w:i/>
        </w:rPr>
        <w:instrText xml:space="preserve"> "</w:instrText>
      </w:r>
      <w:r w:rsidRPr="00AD2703">
        <w:rPr>
          <w:rFonts w:ascii="Times New Roman" w:hAnsi="Times New Roman" w:cs="Times New Roman"/>
        </w:rPr>
        <w:instrText>Mabo v Queensland (No 2) (1992) 175 CLR 1"</w:instrText>
      </w:r>
      <w:r w:rsidRPr="00AD2703">
        <w:rPr>
          <w:rFonts w:ascii="Times New Roman" w:hAnsi="Times New Roman" w:cs="Times New Roman"/>
          <w:i/>
        </w:rPr>
        <w:instrText xml:space="preserve"> </w:instrText>
      </w:r>
      <w:r w:rsidRPr="00AD2703">
        <w:rPr>
          <w:rFonts w:ascii="Times New Roman" w:hAnsi="Times New Roman" w:cs="Times New Roman"/>
        </w:rPr>
        <w:instrText xml:space="preserve">\c 1 </w:instrText>
      </w:r>
      <w:r w:rsidRPr="00AD2703">
        <w:rPr>
          <w:rFonts w:ascii="Times New Roman" w:hAnsi="Times New Roman" w:cs="Times New Roman"/>
          <w:i/>
        </w:rPr>
        <w:fldChar w:fldCharType="end"/>
      </w:r>
      <w:r w:rsidRPr="00AD2703">
        <w:rPr>
          <w:rFonts w:ascii="Times New Roman" w:hAnsi="Times New Roman" w:cs="Times New Roman"/>
          <w:i/>
        </w:rPr>
        <w:t xml:space="preserve"> </w:t>
      </w:r>
      <w:r w:rsidR="00722719">
        <w:rPr>
          <w:rFonts w:ascii="Times New Roman" w:hAnsi="Times New Roman" w:cs="Times New Roman"/>
        </w:rPr>
        <w:t>(No 2) [1998</w:t>
      </w:r>
      <w:r w:rsidRPr="00AD2703">
        <w:rPr>
          <w:rFonts w:ascii="Times New Roman" w:hAnsi="Times New Roman" w:cs="Times New Roman"/>
        </w:rPr>
        <w:t>] 175 CLR 1, 42.</w:t>
      </w:r>
    </w:p>
  </w:footnote>
  <w:footnote w:id="2">
    <w:p w14:paraId="2F80D70B" w14:textId="0123BCB1" w:rsidR="00AD2703" w:rsidRPr="00AD2703" w:rsidRDefault="00AD2703" w:rsidP="00AD2703">
      <w:pPr>
        <w:pStyle w:val="FootnoteText"/>
        <w:ind w:left="426" w:hanging="426"/>
        <w:rPr>
          <w:rFonts w:ascii="Times New Roman" w:hAnsi="Times New Roman" w:cs="Times New Roman"/>
        </w:rPr>
      </w:pPr>
      <w:r w:rsidRPr="00AD2703">
        <w:rPr>
          <w:rStyle w:val="FootnoteReference"/>
          <w:rFonts w:cs="Times New Roman"/>
        </w:rPr>
        <w:footnoteRef/>
      </w:r>
      <w:r w:rsidRPr="00AD2703">
        <w:rPr>
          <w:rFonts w:ascii="Times New Roman" w:hAnsi="Times New Roman" w:cs="Times New Roman"/>
        </w:rPr>
        <w:t xml:space="preserve"> </w:t>
      </w:r>
      <w:r w:rsidRPr="00AD2703">
        <w:rPr>
          <w:rFonts w:ascii="Times New Roman" w:hAnsi="Times New Roman" w:cs="Times New Roman"/>
        </w:rPr>
        <w:tab/>
      </w:r>
      <w:r w:rsidRPr="00AD2703">
        <w:rPr>
          <w:rFonts w:ascii="Times New Roman" w:hAnsi="Times New Roman" w:cs="Times New Roman"/>
          <w:i/>
        </w:rPr>
        <w:t xml:space="preserve">Newcrest Mining (WA) Limited v Commonwealth </w:t>
      </w:r>
      <w:r w:rsidRPr="00AD2703">
        <w:rPr>
          <w:rFonts w:ascii="Times New Roman" w:hAnsi="Times New Roman" w:cs="Times New Roman"/>
        </w:rPr>
        <w:t>(1997) 190 CLR 513, 65</w:t>
      </w:r>
      <w:r w:rsidR="00FA1FEC">
        <w:rPr>
          <w:rFonts w:ascii="Times New Roman" w:hAnsi="Times New Roman" w:cs="Times New Roman"/>
        </w:rPr>
        <w:t>7–8</w:t>
      </w:r>
      <w:r w:rsidRPr="00AD2703">
        <w:rPr>
          <w:rFonts w:ascii="Times New Roman" w:hAnsi="Times New Roman" w:cs="Times New Roman"/>
        </w:rPr>
        <w:t>.</w:t>
      </w:r>
    </w:p>
  </w:footnote>
  <w:footnote w:id="3">
    <w:p w14:paraId="7CC69031" w14:textId="77777777" w:rsidR="00AD2703" w:rsidRPr="00AD2703" w:rsidRDefault="00AD2703">
      <w:pPr>
        <w:pStyle w:val="FootnoteText"/>
        <w:rPr>
          <w:rFonts w:ascii="Times New Roman" w:hAnsi="Times New Roman" w:cs="Times New Roman"/>
        </w:rPr>
      </w:pPr>
      <w:r w:rsidRPr="00AD2703">
        <w:rPr>
          <w:rStyle w:val="FootnoteReference"/>
          <w:rFonts w:cs="Times New Roman"/>
        </w:rPr>
        <w:footnoteRef/>
      </w:r>
      <w:r w:rsidRPr="00AD2703">
        <w:rPr>
          <w:rFonts w:ascii="Times New Roman" w:hAnsi="Times New Roman" w:cs="Times New Roman"/>
        </w:rPr>
        <w:t xml:space="preserve"> </w:t>
      </w:r>
      <w:r w:rsidRPr="00AD2703">
        <w:rPr>
          <w:rFonts w:ascii="Times New Roman" w:hAnsi="Times New Roman" w:cs="Times New Roman"/>
        </w:rPr>
        <w:tab/>
        <w:t xml:space="preserve">Commonwealth, </w:t>
      </w:r>
      <w:r w:rsidRPr="00AD2703">
        <w:rPr>
          <w:rFonts w:ascii="Times New Roman" w:hAnsi="Times New Roman" w:cs="Times New Roman"/>
          <w:i/>
        </w:rPr>
        <w:t>Parliamentary Debates</w:t>
      </w:r>
      <w:r w:rsidRPr="00AD2703">
        <w:rPr>
          <w:rFonts w:ascii="Times New Roman" w:hAnsi="Times New Roman" w:cs="Times New Roman"/>
        </w:rPr>
        <w:t>, Senate, April 2001, 23 789 (A Ridgeway).</w:t>
      </w:r>
    </w:p>
  </w:footnote>
  <w:footnote w:id="4">
    <w:p w14:paraId="6896A7C7" w14:textId="70BFCDAA" w:rsidR="00722719" w:rsidRPr="00AD2703" w:rsidRDefault="00722719" w:rsidP="00722719">
      <w:pPr>
        <w:pStyle w:val="FootnoteText"/>
        <w:rPr>
          <w:rFonts w:ascii="Times New Roman" w:hAnsi="Times New Roman" w:cs="Times New Roman"/>
        </w:rPr>
      </w:pPr>
      <w:r w:rsidRPr="00AD2703">
        <w:rPr>
          <w:rStyle w:val="FootnoteReference"/>
          <w:rFonts w:cs="Times New Roman"/>
        </w:rPr>
        <w:footnoteRef/>
      </w:r>
      <w:r w:rsidRPr="00AD2703">
        <w:rPr>
          <w:rFonts w:ascii="Times New Roman" w:hAnsi="Times New Roman" w:cs="Times New Roman"/>
        </w:rPr>
        <w:t xml:space="preserve"> </w:t>
      </w:r>
      <w:r w:rsidRPr="00AD2703">
        <w:rPr>
          <w:rFonts w:ascii="Times New Roman" w:hAnsi="Times New Roman" w:cs="Times New Roman"/>
        </w:rPr>
        <w:tab/>
      </w:r>
      <w:r w:rsidR="00B35827">
        <w:rPr>
          <w:rFonts w:ascii="Times New Roman" w:hAnsi="Times New Roman" w:cs="Times New Roman"/>
        </w:rPr>
        <w:t xml:space="preserve">See, </w:t>
      </w:r>
      <w:proofErr w:type="spellStart"/>
      <w:r w:rsidR="00B35827">
        <w:rPr>
          <w:rFonts w:ascii="Times New Roman" w:hAnsi="Times New Roman" w:cs="Times New Roman"/>
        </w:rPr>
        <w:t>eg</w:t>
      </w:r>
      <w:proofErr w:type="spellEnd"/>
      <w:r w:rsidRPr="00AD2703">
        <w:rPr>
          <w:rFonts w:ascii="Times New Roman" w:hAnsi="Times New Roman" w:cs="Times New Roman"/>
        </w:rPr>
        <w:t>,</w:t>
      </w:r>
      <w:r w:rsidRPr="00AD2703">
        <w:rPr>
          <w:rFonts w:ascii="Times New Roman" w:hAnsi="Times New Roman" w:cs="Times New Roman"/>
          <w:i/>
        </w:rPr>
        <w:t xml:space="preserve"> </w:t>
      </w:r>
      <w:r w:rsidRPr="00AD2703">
        <w:rPr>
          <w:rFonts w:ascii="Times New Roman" w:hAnsi="Times New Roman" w:cs="Times New Roman"/>
        </w:rPr>
        <w:t>International Air Services Transit Agreement (7 December 1944), 171 United Nations Treaty Series 387.</w:t>
      </w:r>
    </w:p>
  </w:footnote>
  <w:footnote w:id="5">
    <w:p w14:paraId="76AF606C" w14:textId="0D30AAA3" w:rsidR="00AD2703" w:rsidRPr="00AD2703" w:rsidRDefault="00AD2703">
      <w:pPr>
        <w:pStyle w:val="FootnoteText"/>
        <w:rPr>
          <w:rFonts w:ascii="Times New Roman" w:hAnsi="Times New Roman" w:cs="Times New Roman"/>
        </w:rPr>
      </w:pPr>
      <w:r w:rsidRPr="00AD2703">
        <w:rPr>
          <w:rStyle w:val="FootnoteReference"/>
          <w:rFonts w:cs="Times New Roman"/>
        </w:rPr>
        <w:footnoteRef/>
      </w:r>
      <w:r w:rsidRPr="00AD2703">
        <w:rPr>
          <w:rFonts w:ascii="Times New Roman" w:hAnsi="Times New Roman" w:cs="Times New Roman"/>
        </w:rPr>
        <w:t xml:space="preserve"> </w:t>
      </w:r>
      <w:r w:rsidRPr="00AD2703">
        <w:rPr>
          <w:rFonts w:ascii="Times New Roman" w:hAnsi="Times New Roman" w:cs="Times New Roman"/>
        </w:rPr>
        <w:tab/>
        <w:t>See</w:t>
      </w:r>
      <w:r w:rsidR="00B35827">
        <w:rPr>
          <w:rFonts w:ascii="Times New Roman" w:hAnsi="Times New Roman" w:cs="Times New Roman"/>
        </w:rPr>
        <w:t xml:space="preserve">, </w:t>
      </w:r>
      <w:proofErr w:type="spellStart"/>
      <w:r w:rsidRPr="00AD2703">
        <w:rPr>
          <w:rFonts w:ascii="Times New Roman" w:hAnsi="Times New Roman" w:cs="Times New Roman"/>
        </w:rPr>
        <w:t>eg</w:t>
      </w:r>
      <w:proofErr w:type="spellEnd"/>
      <w:r w:rsidR="00B35827">
        <w:rPr>
          <w:rFonts w:ascii="Times New Roman" w:hAnsi="Times New Roman" w:cs="Times New Roman"/>
        </w:rPr>
        <w:t xml:space="preserve">, </w:t>
      </w:r>
      <w:r w:rsidRPr="00AD2703">
        <w:rPr>
          <w:rFonts w:ascii="Times New Roman" w:hAnsi="Times New Roman" w:cs="Times New Roman"/>
        </w:rPr>
        <w:t>United States v Pink 315 S Ct 203 (1942).</w:t>
      </w:r>
    </w:p>
  </w:footnote>
  <w:footnote w:id="6">
    <w:p w14:paraId="4112F4FD" w14:textId="77777777" w:rsidR="00722719" w:rsidRPr="00AD2703" w:rsidRDefault="00722719" w:rsidP="00722719">
      <w:pPr>
        <w:pStyle w:val="FootnoteText"/>
        <w:rPr>
          <w:rFonts w:ascii="Times New Roman" w:hAnsi="Times New Roman" w:cs="Times New Roman"/>
        </w:rPr>
      </w:pPr>
      <w:r w:rsidRPr="00AD2703">
        <w:rPr>
          <w:rStyle w:val="FootnoteReference"/>
          <w:rFonts w:cs="Times New Roman"/>
        </w:rPr>
        <w:footnoteRef/>
      </w:r>
      <w:r w:rsidRPr="00AD2703">
        <w:rPr>
          <w:rFonts w:ascii="Times New Roman" w:hAnsi="Times New Roman" w:cs="Times New Roman"/>
        </w:rPr>
        <w:t xml:space="preserve"> </w:t>
      </w:r>
      <w:r w:rsidRPr="00AD2703">
        <w:rPr>
          <w:rFonts w:ascii="Times New Roman" w:hAnsi="Times New Roman" w:cs="Times New Roman"/>
        </w:rPr>
        <w:tab/>
      </w:r>
      <w:proofErr w:type="spellStart"/>
      <w:r w:rsidRPr="00AD2703">
        <w:rPr>
          <w:rFonts w:ascii="Times New Roman" w:hAnsi="Times New Roman" w:cs="Times New Roman"/>
        </w:rPr>
        <w:t>Eg</w:t>
      </w:r>
      <w:proofErr w:type="spellEnd"/>
      <w:r w:rsidRPr="00AD2703">
        <w:rPr>
          <w:rFonts w:ascii="Times New Roman" w:hAnsi="Times New Roman" w:cs="Times New Roman"/>
        </w:rPr>
        <w:t xml:space="preserve">, Vienna </w:t>
      </w:r>
      <w:r>
        <w:rPr>
          <w:rFonts w:ascii="Times New Roman" w:hAnsi="Times New Roman" w:cs="Times New Roman"/>
        </w:rPr>
        <w:t xml:space="preserve">Ozone Layer Protection Treaty </w:t>
      </w:r>
      <w:r w:rsidRPr="00AD2703">
        <w:rPr>
          <w:rFonts w:ascii="Times New Roman" w:hAnsi="Times New Roman" w:cs="Times New Roman"/>
        </w:rPr>
        <w:t>(22 March 1985), 26 ILM 1529.</w:t>
      </w:r>
    </w:p>
  </w:footnote>
  <w:footnote w:id="7">
    <w:p w14:paraId="0F4D5B2A" w14:textId="77777777" w:rsidR="00AD2703" w:rsidRPr="00AD2703" w:rsidRDefault="00AD2703">
      <w:pPr>
        <w:pStyle w:val="FootnoteText"/>
        <w:rPr>
          <w:rFonts w:ascii="Times New Roman" w:hAnsi="Times New Roman" w:cs="Times New Roman"/>
        </w:rPr>
      </w:pPr>
      <w:r w:rsidRPr="00AD2703">
        <w:rPr>
          <w:rStyle w:val="FootnoteReference"/>
          <w:rFonts w:cs="Times New Roman"/>
        </w:rPr>
        <w:footnoteRef/>
      </w:r>
      <w:r w:rsidR="00722719">
        <w:rPr>
          <w:rFonts w:ascii="Times New Roman" w:hAnsi="Times New Roman" w:cs="Times New Roman"/>
        </w:rPr>
        <w:t xml:space="preserve"> </w:t>
      </w:r>
      <w:r w:rsidR="00722719">
        <w:rPr>
          <w:rFonts w:ascii="Times New Roman" w:hAnsi="Times New Roman" w:cs="Times New Roman"/>
        </w:rPr>
        <w:tab/>
      </w:r>
      <w:r w:rsidRPr="00AD2703">
        <w:rPr>
          <w:rFonts w:ascii="Times New Roman" w:hAnsi="Times New Roman" w:cs="Times New Roman"/>
        </w:rPr>
        <w:t>Orford,</w:t>
      </w:r>
      <w:r w:rsidR="00722719">
        <w:rPr>
          <w:rFonts w:ascii="Times New Roman" w:hAnsi="Times New Roman" w:cs="Times New Roman"/>
        </w:rPr>
        <w:t xml:space="preserve"> Anne</w:t>
      </w:r>
      <w:r w:rsidRPr="00AD2703">
        <w:rPr>
          <w:rFonts w:ascii="Times New Roman" w:hAnsi="Times New Roman" w:cs="Times New Roman"/>
        </w:rPr>
        <w:t xml:space="preserve"> ‘Locating the International: Military and Monetary Interventions after the Cold War’ (1997) 38 </w:t>
      </w:r>
      <w:r w:rsidRPr="00AD2703">
        <w:rPr>
          <w:rFonts w:ascii="Times New Roman" w:hAnsi="Times New Roman" w:cs="Times New Roman"/>
          <w:i/>
        </w:rPr>
        <w:t>Harvard International Law Journal</w:t>
      </w:r>
      <w:r w:rsidRPr="00AD2703">
        <w:rPr>
          <w:rFonts w:ascii="Times New Roman" w:hAnsi="Times New Roman" w:cs="Times New Roman"/>
        </w:rPr>
        <w:t xml:space="preserve"> 443, 464-476; Bruce Rich, ‘Mortgaging the Earth</w:t>
      </w:r>
      <w:r w:rsidRPr="00AD2703">
        <w:rPr>
          <w:rFonts w:ascii="Times New Roman" w:hAnsi="Times New Roman" w:cs="Times New Roman"/>
          <w:i/>
        </w:rPr>
        <w:t>’</w:t>
      </w:r>
      <w:r w:rsidRPr="00AD2703">
        <w:rPr>
          <w:rFonts w:ascii="Times New Roman" w:hAnsi="Times New Roman" w:cs="Times New Roman"/>
        </w:rPr>
        <w:t xml:space="preserve"> (Earthscan Publications Ltd, London, 1994).</w:t>
      </w:r>
    </w:p>
  </w:footnote>
  <w:footnote w:id="8">
    <w:p w14:paraId="25AF1827" w14:textId="02FE05CC" w:rsidR="00AD2703" w:rsidRPr="00AD2703" w:rsidRDefault="00AD2703">
      <w:pPr>
        <w:pStyle w:val="FootnoteText"/>
        <w:rPr>
          <w:rFonts w:ascii="Times New Roman" w:hAnsi="Times New Roman" w:cs="Times New Roman"/>
        </w:rPr>
      </w:pPr>
      <w:r w:rsidRPr="00AD2703">
        <w:rPr>
          <w:rStyle w:val="FootnoteReference"/>
          <w:rFonts w:cs="Times New Roman"/>
        </w:rPr>
        <w:footnoteRef/>
      </w:r>
      <w:r w:rsidRPr="00AD2703">
        <w:rPr>
          <w:rFonts w:ascii="Times New Roman" w:hAnsi="Times New Roman" w:cs="Times New Roman"/>
        </w:rPr>
        <w:t xml:space="preserve"> </w:t>
      </w:r>
      <w:r w:rsidRPr="00AD2703">
        <w:rPr>
          <w:rFonts w:ascii="Times New Roman" w:hAnsi="Times New Roman" w:cs="Times New Roman"/>
        </w:rPr>
        <w:tab/>
      </w:r>
      <w:r w:rsidRPr="00AD2703">
        <w:rPr>
          <w:rFonts w:ascii="Times New Roman" w:hAnsi="Times New Roman" w:cs="Times New Roman"/>
          <w:i/>
        </w:rPr>
        <w:t>National Institutions for the Promotion and Protection of Human Rights</w:t>
      </w:r>
      <w:r w:rsidRPr="00AD2703">
        <w:rPr>
          <w:rFonts w:ascii="Times New Roman" w:hAnsi="Times New Roman" w:cs="Times New Roman"/>
        </w:rPr>
        <w:t>, GA Res 65/161, UN SCOR, 3</w:t>
      </w:r>
      <w:r w:rsidRPr="00AD2703">
        <w:rPr>
          <w:rFonts w:ascii="Times New Roman" w:hAnsi="Times New Roman" w:cs="Times New Roman"/>
          <w:vertAlign w:val="superscript"/>
        </w:rPr>
        <w:t>rd</w:t>
      </w:r>
      <w:r w:rsidRPr="00AD2703">
        <w:rPr>
          <w:rFonts w:ascii="Times New Roman" w:hAnsi="Times New Roman" w:cs="Times New Roman"/>
        </w:rPr>
        <w:t xml:space="preserve"> Comm, 65</w:t>
      </w:r>
      <w:r w:rsidRPr="00AD2703">
        <w:rPr>
          <w:rFonts w:ascii="Times New Roman" w:hAnsi="Times New Roman" w:cs="Times New Roman"/>
          <w:vertAlign w:val="superscript"/>
        </w:rPr>
        <w:t>th</w:t>
      </w:r>
      <w:r w:rsidRPr="00AD2703">
        <w:rPr>
          <w:rFonts w:ascii="Times New Roman" w:hAnsi="Times New Roman" w:cs="Times New Roman"/>
        </w:rPr>
        <w:t xml:space="preserve"> </w:t>
      </w:r>
      <w:proofErr w:type="spellStart"/>
      <w:r w:rsidRPr="00AD2703">
        <w:rPr>
          <w:rFonts w:ascii="Times New Roman" w:hAnsi="Times New Roman" w:cs="Times New Roman"/>
        </w:rPr>
        <w:t>sess</w:t>
      </w:r>
      <w:proofErr w:type="spellEnd"/>
      <w:r w:rsidRPr="00AD2703">
        <w:rPr>
          <w:rFonts w:ascii="Times New Roman" w:hAnsi="Times New Roman" w:cs="Times New Roman"/>
        </w:rPr>
        <w:t>, 65</w:t>
      </w:r>
      <w:r w:rsidRPr="00AD2703">
        <w:rPr>
          <w:rFonts w:ascii="Times New Roman" w:hAnsi="Times New Roman" w:cs="Times New Roman"/>
          <w:vertAlign w:val="superscript"/>
        </w:rPr>
        <w:t>th</w:t>
      </w:r>
      <w:r w:rsidRPr="00AD2703">
        <w:rPr>
          <w:rFonts w:ascii="Times New Roman" w:hAnsi="Times New Roman" w:cs="Times New Roman"/>
        </w:rPr>
        <w:t xml:space="preserve"> mtg, Agenda Item 69</w:t>
      </w:r>
      <w:r w:rsidR="00126694">
        <w:rPr>
          <w:rFonts w:ascii="Times New Roman" w:hAnsi="Times New Roman" w:cs="Times New Roman"/>
        </w:rPr>
        <w:t>(b)</w:t>
      </w:r>
      <w:r w:rsidRPr="00AD2703">
        <w:rPr>
          <w:rFonts w:ascii="Times New Roman" w:hAnsi="Times New Roman" w:cs="Times New Roman"/>
        </w:rPr>
        <w:t>, UN Doc A/RES/65/161 (12 March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E9"/>
    <w:rsid w:val="00126694"/>
    <w:rsid w:val="001D0A12"/>
    <w:rsid w:val="002E2AE9"/>
    <w:rsid w:val="00363A87"/>
    <w:rsid w:val="0043072D"/>
    <w:rsid w:val="00596473"/>
    <w:rsid w:val="005A5EE4"/>
    <w:rsid w:val="00693F22"/>
    <w:rsid w:val="006F53A2"/>
    <w:rsid w:val="00722719"/>
    <w:rsid w:val="00723CAB"/>
    <w:rsid w:val="00735716"/>
    <w:rsid w:val="00794EAC"/>
    <w:rsid w:val="00795733"/>
    <w:rsid w:val="007B0F7C"/>
    <w:rsid w:val="00866AB9"/>
    <w:rsid w:val="00A204C5"/>
    <w:rsid w:val="00A23CFD"/>
    <w:rsid w:val="00A4427B"/>
    <w:rsid w:val="00A507C0"/>
    <w:rsid w:val="00A52CE4"/>
    <w:rsid w:val="00A96E91"/>
    <w:rsid w:val="00AD2703"/>
    <w:rsid w:val="00B35827"/>
    <w:rsid w:val="00B90095"/>
    <w:rsid w:val="00CC423A"/>
    <w:rsid w:val="00DD7C0D"/>
    <w:rsid w:val="00EC145F"/>
    <w:rsid w:val="00ED26EB"/>
    <w:rsid w:val="00FA1FEC"/>
    <w:rsid w:val="00FA4889"/>
    <w:rsid w:val="00FC0873"/>
    <w:rsid w:val="00FF0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EC75"/>
  <w15:chartTrackingRefBased/>
  <w15:docId w15:val="{9F444036-3738-40F1-B448-D587D536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ind w:left="425"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E2AE9"/>
    <w:rPr>
      <w:rFonts w:ascii="Times New Roman" w:hAnsi="Times New Roman"/>
      <w:position w:val="6"/>
      <w:sz w:val="16"/>
    </w:rPr>
  </w:style>
  <w:style w:type="paragraph" w:customStyle="1" w:styleId="1stparagraph">
    <w:name w:val="1st paragraph"/>
    <w:basedOn w:val="Normal"/>
    <w:rsid w:val="002E2AE9"/>
    <w:pPr>
      <w:spacing w:after="60" w:line="240" w:lineRule="exact"/>
      <w:jc w:val="both"/>
    </w:pPr>
    <w:rPr>
      <w:rFonts w:ascii="Times New Roman" w:eastAsia="Times New Roman" w:hAnsi="Times New Roman" w:cs="Times New Roman"/>
      <w:sz w:val="20"/>
      <w:szCs w:val="20"/>
    </w:rPr>
  </w:style>
  <w:style w:type="paragraph" w:customStyle="1" w:styleId="2ndparagraph">
    <w:name w:val="2nd paragraph"/>
    <w:basedOn w:val="Normal"/>
    <w:rsid w:val="002E2AE9"/>
    <w:pPr>
      <w:spacing w:after="60" w:line="240" w:lineRule="exact"/>
      <w:ind w:firstLine="288"/>
      <w:jc w:val="both"/>
    </w:pPr>
    <w:rPr>
      <w:rFonts w:ascii="Times New Roman" w:eastAsia="Times New Roman" w:hAnsi="Times New Roman" w:cs="Times New Roman"/>
      <w:sz w:val="20"/>
      <w:szCs w:val="20"/>
    </w:rPr>
  </w:style>
  <w:style w:type="paragraph" w:customStyle="1" w:styleId="FootnoteText1">
    <w:name w:val="Footnote Text1"/>
    <w:basedOn w:val="Normal"/>
    <w:rsid w:val="002E2AE9"/>
    <w:pPr>
      <w:widowControl w:val="0"/>
      <w:spacing w:line="200" w:lineRule="exact"/>
      <w:ind w:left="431" w:hanging="431"/>
      <w:jc w:val="both"/>
    </w:pPr>
    <w:rPr>
      <w:rFonts w:ascii="Times New Roman" w:eastAsia="Times New Roman" w:hAnsi="Times New Roman" w:cs="Times New Roman"/>
      <w:sz w:val="18"/>
      <w:szCs w:val="20"/>
    </w:rPr>
  </w:style>
  <w:style w:type="paragraph" w:styleId="Header">
    <w:name w:val="header"/>
    <w:basedOn w:val="Normal"/>
    <w:link w:val="HeaderChar"/>
    <w:semiHidden/>
    <w:rsid w:val="002E2AE9"/>
    <w:pPr>
      <w:tabs>
        <w:tab w:val="center" w:pos="4320"/>
        <w:tab w:val="right" w:pos="8640"/>
      </w:tabs>
      <w:spacing w:after="60" w:line="240" w:lineRule="exact"/>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2E2AE9"/>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A507C0"/>
    <w:rPr>
      <w:sz w:val="20"/>
      <w:szCs w:val="20"/>
    </w:rPr>
  </w:style>
  <w:style w:type="character" w:customStyle="1" w:styleId="FootnoteTextChar">
    <w:name w:val="Footnote Text Char"/>
    <w:basedOn w:val="DefaultParagraphFont"/>
    <w:link w:val="FootnoteText"/>
    <w:uiPriority w:val="99"/>
    <w:semiHidden/>
    <w:rsid w:val="00A507C0"/>
    <w:rPr>
      <w:sz w:val="20"/>
      <w:szCs w:val="20"/>
    </w:rPr>
  </w:style>
  <w:style w:type="paragraph" w:styleId="BalloonText">
    <w:name w:val="Balloon Text"/>
    <w:basedOn w:val="Normal"/>
    <w:link w:val="BalloonTextChar"/>
    <w:uiPriority w:val="99"/>
    <w:semiHidden/>
    <w:unhideWhenUsed/>
    <w:rsid w:val="00866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71E52-DF3C-4A5C-800F-6C16DCE8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Blyth</dc:creator>
  <cp:keywords/>
  <dc:description/>
  <cp:lastModifiedBy>Author</cp:lastModifiedBy>
  <cp:revision>5</cp:revision>
  <dcterms:created xsi:type="dcterms:W3CDTF">2022-10-27T03:51:00Z</dcterms:created>
  <dcterms:modified xsi:type="dcterms:W3CDTF">2022-11-24T23:44:00Z</dcterms:modified>
</cp:coreProperties>
</file>